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BCCB4">
      <w:pPr>
        <w:keepNext w:val="0"/>
        <w:keepLines w:val="0"/>
        <w:pageBreakBefore w:val="0"/>
        <w:widowControl/>
        <w:kinsoku/>
        <w:overflowPunct/>
        <w:topLinePunct w:val="0"/>
        <w:autoSpaceDN/>
        <w:bidi w:val="0"/>
        <w:adjustRightInd/>
        <w:snapToGrid/>
        <w:spacing w:line="590" w:lineRule="exact"/>
        <w:contextualSpacing/>
        <w:jc w:val="center"/>
        <w:textAlignment w:val="auto"/>
        <w:outlineLvl w:val="0"/>
        <w:rPr>
          <w:rFonts w:ascii="Times New Roman" w:hAnsi="Times New Roman" w:eastAsia="方正小标宋简体" w:cs="Times New Roman"/>
          <w:kern w:val="36"/>
          <w:sz w:val="44"/>
          <w:szCs w:val="44"/>
        </w:rPr>
      </w:pPr>
      <w:r>
        <w:rPr>
          <w:rFonts w:ascii="Times New Roman" w:hAnsi="Times New Roman" w:eastAsia="方正小标宋简体" w:cs="Times New Roman"/>
          <w:kern w:val="36"/>
          <w:sz w:val="44"/>
          <w:szCs w:val="44"/>
        </w:rPr>
        <w:t>关于北仑新增对外开放码头口岸限定区域范围及管理措施的通告</w:t>
      </w:r>
    </w:p>
    <w:p w14:paraId="4E939F11">
      <w:pPr>
        <w:keepNext w:val="0"/>
        <w:keepLines w:val="0"/>
        <w:pageBreakBefore w:val="0"/>
        <w:widowControl/>
        <w:kinsoku/>
        <w:overflowPunct/>
        <w:topLinePunct w:val="0"/>
        <w:autoSpaceDN/>
        <w:bidi w:val="0"/>
        <w:adjustRightInd/>
        <w:snapToGrid/>
        <w:spacing w:line="590" w:lineRule="exact"/>
        <w:contextualSpacing/>
        <w:jc w:val="center"/>
        <w:textAlignment w:val="auto"/>
        <w:outlineLvl w:val="0"/>
        <w:rPr>
          <w:rFonts w:ascii="Times New Roman" w:hAnsi="Times New Roman" w:eastAsia="方正小标宋简体" w:cs="Times New Roman"/>
          <w:kern w:val="36"/>
          <w:sz w:val="44"/>
          <w:szCs w:val="44"/>
        </w:rPr>
      </w:pPr>
    </w:p>
    <w:p w14:paraId="4D9F0AB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为保障人员和交通运输工具正常出入境，确保</w:t>
      </w:r>
      <w:r>
        <w:rPr>
          <w:rFonts w:hint="eastAsia" w:ascii="Times New Roman" w:hAnsi="Times New Roman" w:eastAsia="仿宋_GB2312" w:cs="Times New Roman"/>
          <w:sz w:val="32"/>
          <w:szCs w:val="32"/>
          <w:lang w:val="en-US" w:eastAsia="zh-CN"/>
        </w:rPr>
        <w:t>北仑</w:t>
      </w:r>
      <w:r>
        <w:rPr>
          <w:rFonts w:hint="default" w:ascii="Times New Roman" w:hAnsi="Times New Roman" w:eastAsia="仿宋_GB2312" w:cs="Times New Roman"/>
          <w:sz w:val="32"/>
          <w:szCs w:val="32"/>
          <w:lang w:val="en-US" w:eastAsia="zh-CN"/>
        </w:rPr>
        <w:t>对外开放口岸安全、顺畅，依据《中华人民共和国出境入境管理法》《中华人民共和国出境入境边防检查条例》等有关法律法规，现将</w:t>
      </w:r>
      <w:r>
        <w:rPr>
          <w:rFonts w:hint="eastAsia" w:ascii="Times New Roman" w:hAnsi="Times New Roman" w:eastAsia="仿宋_GB2312" w:cs="Times New Roman"/>
          <w:sz w:val="32"/>
          <w:szCs w:val="32"/>
          <w:lang w:val="en-US" w:eastAsia="zh-CN"/>
        </w:rPr>
        <w:t>北仑区2025年以来新增对外开放码头口岸</w:t>
      </w:r>
      <w:r>
        <w:rPr>
          <w:rFonts w:hint="default" w:ascii="Times New Roman" w:hAnsi="Times New Roman" w:eastAsia="仿宋_GB2312" w:cs="Times New Roman"/>
          <w:sz w:val="32"/>
          <w:szCs w:val="32"/>
          <w:lang w:val="en-US" w:eastAsia="zh-CN"/>
        </w:rPr>
        <w:t>限定区域范围及管理</w:t>
      </w:r>
      <w:r>
        <w:rPr>
          <w:rFonts w:hint="eastAsia" w:ascii="Times New Roman" w:hAnsi="Times New Roman" w:eastAsia="仿宋_GB2312" w:cs="Times New Roman"/>
          <w:sz w:val="32"/>
          <w:szCs w:val="32"/>
          <w:lang w:val="en-US" w:eastAsia="zh-CN"/>
        </w:rPr>
        <w:t>措施</w:t>
      </w:r>
      <w:r>
        <w:rPr>
          <w:rFonts w:hint="default" w:ascii="Times New Roman" w:hAnsi="Times New Roman" w:eastAsia="仿宋_GB2312" w:cs="Times New Roman"/>
          <w:sz w:val="32"/>
          <w:szCs w:val="32"/>
          <w:lang w:val="en-US" w:eastAsia="zh-CN"/>
        </w:rPr>
        <w:t>通告如下：</w:t>
      </w:r>
    </w:p>
    <w:p w14:paraId="57AA252B">
      <w:pPr>
        <w:keepNext w:val="0"/>
        <w:keepLines w:val="0"/>
        <w:pageBreakBefore w:val="0"/>
        <w:widowControl/>
        <w:suppressAutoHyphens/>
        <w:kinsoku/>
        <w:wordWrap/>
        <w:overflowPunct w:val="0"/>
        <w:topLinePunct/>
        <w:autoSpaceDE/>
        <w:autoSpaceDN/>
        <w:bidi w:val="0"/>
        <w:adjustRightInd/>
        <w:snapToGrid/>
        <w:spacing w:after="0" w:line="560" w:lineRule="exact"/>
        <w:ind w:firstLine="640" w:firstLineChars="200"/>
        <w:contextualSpacing/>
        <w:textAlignment w:val="auto"/>
        <w:outlineLvl w:val="1"/>
        <w:rPr>
          <w:rFonts w:hint="default" w:ascii="Times New Roman" w:hAnsi="Times New Roman" w:eastAsia="黑体" w:cs="Times New Roman"/>
          <w:kern w:val="0"/>
          <w:sz w:val="32"/>
          <w:lang w:val="en-US" w:eastAsia="zh-CN"/>
        </w:rPr>
      </w:pPr>
      <w:r>
        <w:rPr>
          <w:rFonts w:hint="default" w:ascii="Times New Roman" w:hAnsi="Times New Roman" w:eastAsia="黑体" w:cs="Times New Roman"/>
          <w:kern w:val="0"/>
          <w:sz w:val="32"/>
          <w:lang w:val="en-US" w:eastAsia="zh-CN"/>
        </w:rPr>
        <w:t>一、口岸限定区域范围划定依据</w:t>
      </w:r>
    </w:p>
    <w:p w14:paraId="5A8DA9A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依据《中华人民共和国出境入境管理法》第六条、《中华人民共和国出境入境边防检查条例》第四条等有关法律法规及相关文件精神，按照“有效管理，因地制宜”的原则划定口岸限定区域。</w:t>
      </w:r>
    </w:p>
    <w:p w14:paraId="18EEE867">
      <w:pPr>
        <w:keepNext w:val="0"/>
        <w:keepLines w:val="0"/>
        <w:pageBreakBefore w:val="0"/>
        <w:widowControl/>
        <w:suppressAutoHyphens/>
        <w:kinsoku/>
        <w:wordWrap/>
        <w:overflowPunct w:val="0"/>
        <w:topLinePunct/>
        <w:autoSpaceDE/>
        <w:autoSpaceDN/>
        <w:bidi w:val="0"/>
        <w:adjustRightInd/>
        <w:snapToGrid/>
        <w:spacing w:after="0" w:line="560" w:lineRule="exact"/>
        <w:ind w:firstLine="640" w:firstLineChars="200"/>
        <w:contextualSpacing/>
        <w:textAlignment w:val="auto"/>
        <w:outlineLvl w:val="1"/>
        <w:rPr>
          <w:rFonts w:hint="default" w:ascii="Times New Roman" w:hAnsi="Times New Roman" w:eastAsia="黑体" w:cs="Times New Roman"/>
          <w:kern w:val="0"/>
          <w:sz w:val="32"/>
          <w:lang w:val="en-US" w:eastAsia="zh-CN"/>
        </w:rPr>
      </w:pPr>
      <w:r>
        <w:rPr>
          <w:rFonts w:hint="default" w:ascii="Times New Roman" w:hAnsi="Times New Roman" w:eastAsia="黑体" w:cs="Times New Roman"/>
          <w:kern w:val="0"/>
          <w:sz w:val="32"/>
          <w:lang w:val="en-US" w:eastAsia="zh-CN"/>
        </w:rPr>
        <w:t>二、口岸限定区域范围</w:t>
      </w:r>
    </w:p>
    <w:p w14:paraId="40F0798C">
      <w:pPr>
        <w:keepNext w:val="0"/>
        <w:keepLines w:val="0"/>
        <w:pageBreakBefore w:val="0"/>
        <w:widowControl/>
        <w:suppressAutoHyphens/>
        <w:kinsoku/>
        <w:wordWrap/>
        <w:overflowPunct w:val="0"/>
        <w:topLinePunct/>
        <w:autoSpaceDE/>
        <w:autoSpaceDN/>
        <w:bidi w:val="0"/>
        <w:adjustRightInd/>
        <w:snapToGrid/>
        <w:spacing w:after="0" w:line="560" w:lineRule="exact"/>
        <w:ind w:firstLine="640" w:firstLineChars="200"/>
        <w:contextualSpacing/>
        <w:textAlignment w:val="auto"/>
        <w:rPr>
          <w:rFonts w:hint="default" w:ascii="楷体_GB2312" w:hAnsi="Times New Roman" w:eastAsia="楷体_GB2312"/>
          <w:kern w:val="0"/>
          <w:sz w:val="32"/>
          <w:lang w:val="en-US" w:eastAsia="zh-CN"/>
        </w:rPr>
      </w:pPr>
      <w:r>
        <w:rPr>
          <w:rFonts w:hint="default" w:ascii="楷体_GB2312" w:hAnsi="Times New Roman" w:eastAsia="楷体_GB2312"/>
          <w:kern w:val="0"/>
          <w:sz w:val="32"/>
          <w:lang w:val="en-US" w:eastAsia="zh-CN"/>
        </w:rPr>
        <w:t>（一）北仑港区</w:t>
      </w:r>
    </w:p>
    <w:p w14:paraId="6ADA040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.台塑港务（宁波）有限公司码头台塑化三码头</w:t>
      </w:r>
      <w:r>
        <w:rPr>
          <w:rFonts w:hint="default" w:ascii="Times New Roman" w:hAnsi="Times New Roman" w:eastAsia="仿宋_GB2312" w:cs="Times New Roman"/>
          <w:sz w:val="32"/>
          <w:szCs w:val="32"/>
          <w:lang w:val="en-US" w:eastAsia="zh-CN"/>
        </w:rPr>
        <w:t>（地址：宁波市北仑区霞浦临港二路1-11）</w:t>
      </w:r>
    </w:p>
    <w:p w14:paraId="32D7BE5D">
      <w:pPr>
        <w:keepNext w:val="0"/>
        <w:keepLines w:val="0"/>
        <w:pageBreakBefore w:val="0"/>
        <w:widowControl/>
        <w:suppressAutoHyphens/>
        <w:kinsoku/>
        <w:wordWrap/>
        <w:overflowPunct w:val="0"/>
        <w:topLinePunct/>
        <w:autoSpaceDE/>
        <w:autoSpaceDN/>
        <w:bidi w:val="0"/>
        <w:adjustRightInd/>
        <w:snapToGrid/>
        <w:spacing w:after="0" w:line="560" w:lineRule="exact"/>
        <w:ind w:firstLine="640" w:firstLineChars="200"/>
        <w:contextualSpacing/>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该码头口岸限定区域为其所属化三码头2个泊位码头面及船等宽的海上监管区域所组成的区域，码头面长约470米，口岸限定区域占地面积约1.8万平方米。</w:t>
      </w:r>
    </w:p>
    <w:p w14:paraId="0F2B56A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2.国能浙江北仑第一发电有限公司码头</w:t>
      </w:r>
      <w:r>
        <w:rPr>
          <w:rFonts w:hint="default" w:ascii="Times New Roman" w:hAnsi="Times New Roman" w:eastAsia="仿宋_GB2312" w:cs="Times New Roman"/>
          <w:b/>
          <w:bCs/>
          <w:sz w:val="32"/>
          <w:szCs w:val="32"/>
          <w:lang w:val="en-US" w:eastAsia="zh-CN"/>
        </w:rPr>
        <w:t>3号泊位</w:t>
      </w:r>
      <w:r>
        <w:rPr>
          <w:rFonts w:hint="eastAsia" w:ascii="Times New Roman" w:hAnsi="Times New Roman" w:eastAsia="仿宋_GB2312" w:cs="Times New Roman"/>
          <w:sz w:val="32"/>
          <w:szCs w:val="32"/>
          <w:lang w:val="en-US" w:eastAsia="zh-CN"/>
        </w:rPr>
        <w:t>（地址：宁波市北仑区进港西路</w:t>
      </w:r>
      <w:r>
        <w:rPr>
          <w:rFonts w:hint="default" w:ascii="Times New Roman" w:hAnsi="Times New Roman" w:eastAsia="仿宋_GB2312" w:cs="Times New Roman"/>
          <w:sz w:val="32"/>
          <w:szCs w:val="32"/>
          <w:lang w:val="en-US" w:eastAsia="zh-CN"/>
        </w:rPr>
        <w:t>66</w:t>
      </w:r>
      <w:r>
        <w:rPr>
          <w:rFonts w:hint="eastAsia" w:ascii="Times New Roman" w:hAnsi="Times New Roman" w:eastAsia="仿宋_GB2312" w:cs="Times New Roman"/>
          <w:sz w:val="32"/>
          <w:szCs w:val="32"/>
          <w:lang w:val="en-US" w:eastAsia="zh-CN"/>
        </w:rPr>
        <w:t>号）</w:t>
      </w:r>
    </w:p>
    <w:p w14:paraId="0ABA22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码头</w:t>
      </w:r>
      <w:r>
        <w:rPr>
          <w:rFonts w:hint="eastAsia" w:ascii="Times New Roman" w:hAnsi="Times New Roman" w:eastAsia="仿宋_GB2312" w:cs="Times New Roman"/>
          <w:sz w:val="32"/>
          <w:szCs w:val="32"/>
          <w:lang w:val="en-US" w:eastAsia="zh-CN"/>
        </w:rPr>
        <w:t>口岸限定区域为</w:t>
      </w:r>
      <w:r>
        <w:rPr>
          <w:rFonts w:hint="default" w:ascii="Times New Roman" w:hAnsi="Times New Roman" w:eastAsia="仿宋_GB2312" w:cs="Times New Roman"/>
          <w:sz w:val="32"/>
          <w:szCs w:val="32"/>
          <w:lang w:val="en-US" w:eastAsia="zh-CN"/>
        </w:rPr>
        <w:t>其所属3号泊位码头面及船等宽的海上监管区域所组成的区域，码头面长约534米，口岸限定区域面积约为2.06万平方米</w:t>
      </w:r>
      <w:r>
        <w:rPr>
          <w:rFonts w:hint="eastAsia" w:ascii="Times New Roman" w:hAnsi="Times New Roman" w:eastAsia="仿宋_GB2312" w:cs="Times New Roman"/>
          <w:sz w:val="32"/>
          <w:szCs w:val="32"/>
          <w:lang w:val="en-US" w:eastAsia="zh-CN"/>
        </w:rPr>
        <w:t>。</w:t>
      </w:r>
    </w:p>
    <w:p w14:paraId="5DD28AC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宁波冠保码头有限公司码头通用泊位</w:t>
      </w:r>
      <w:r>
        <w:rPr>
          <w:rFonts w:hint="eastAsia" w:ascii="Times New Roman" w:hAnsi="Times New Roman" w:eastAsia="仿宋_GB2312" w:cs="Times New Roman"/>
          <w:sz w:val="32"/>
          <w:szCs w:val="32"/>
          <w:lang w:val="en-US" w:eastAsia="zh-CN"/>
        </w:rPr>
        <w:t>（地址：北仑戚家山街道青峙化工园区富山路西侧）</w:t>
      </w:r>
    </w:p>
    <w:p w14:paraId="47F5048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码头</w:t>
      </w:r>
      <w:r>
        <w:rPr>
          <w:rFonts w:hint="eastAsia" w:ascii="Times New Roman" w:hAnsi="Times New Roman" w:eastAsia="仿宋_GB2312" w:cs="Times New Roman"/>
          <w:sz w:val="32"/>
          <w:szCs w:val="32"/>
          <w:lang w:val="en-US" w:eastAsia="zh-CN"/>
        </w:rPr>
        <w:t>口岸限定区域为</w:t>
      </w:r>
      <w:r>
        <w:rPr>
          <w:rFonts w:hint="default" w:ascii="Times New Roman" w:hAnsi="Times New Roman" w:eastAsia="仿宋_GB2312" w:cs="Times New Roman"/>
          <w:sz w:val="32"/>
          <w:szCs w:val="32"/>
          <w:lang w:val="en-US" w:eastAsia="zh-CN"/>
        </w:rPr>
        <w:t>其所属通用泊位引桥至码头面及船等宽的海上监管区域所组成的区域，码头面长约265米，引桥段长约300米。口岸限定区域面积约为1.06万平方米（含引桥段）。</w:t>
      </w:r>
    </w:p>
    <w:p w14:paraId="30B8B43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宁波信润石化储运有限公司码头2号泊位</w:t>
      </w:r>
      <w:r>
        <w:rPr>
          <w:rFonts w:hint="eastAsia" w:ascii="Times New Roman" w:hAnsi="Times New Roman" w:eastAsia="仿宋_GB2312" w:cs="Times New Roman"/>
          <w:sz w:val="32"/>
          <w:szCs w:val="32"/>
          <w:lang w:val="en-US" w:eastAsia="zh-CN"/>
        </w:rPr>
        <w:t>（地址：宁波市北仑区霞浦街道临港一路7号）</w:t>
      </w:r>
    </w:p>
    <w:p w14:paraId="770D9EA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码头泊位</w:t>
      </w:r>
      <w:r>
        <w:rPr>
          <w:rFonts w:hint="eastAsia" w:ascii="Times New Roman" w:hAnsi="Times New Roman" w:eastAsia="仿宋_GB2312" w:cs="Times New Roman"/>
          <w:sz w:val="32"/>
          <w:szCs w:val="32"/>
          <w:lang w:val="en-US" w:eastAsia="zh-CN"/>
        </w:rPr>
        <w:t>口岸限定区域为</w:t>
      </w:r>
      <w:r>
        <w:rPr>
          <w:rFonts w:hint="default" w:ascii="Times New Roman" w:hAnsi="Times New Roman" w:eastAsia="仿宋_GB2312" w:cs="Times New Roman"/>
          <w:sz w:val="32"/>
          <w:szCs w:val="32"/>
          <w:lang w:val="en-US" w:eastAsia="zh-CN"/>
        </w:rPr>
        <w:t>其所属2号泊位引桥至码头面及船等宽的海上监管区域所组成的区域，码头面长约384米，引桥段长约780米。口岸限定区域面积约5.68万平方米（含引桥段）</w:t>
      </w:r>
      <w:r>
        <w:rPr>
          <w:rFonts w:hint="eastAsia" w:ascii="Times New Roman" w:hAnsi="Times New Roman" w:eastAsia="仿宋_GB2312" w:cs="Times New Roman"/>
          <w:sz w:val="32"/>
          <w:szCs w:val="32"/>
          <w:lang w:val="en-US" w:eastAsia="zh-CN"/>
        </w:rPr>
        <w:t>。</w:t>
      </w:r>
    </w:p>
    <w:p w14:paraId="6FB337C8">
      <w:pPr>
        <w:keepNext w:val="0"/>
        <w:keepLines w:val="0"/>
        <w:pageBreakBefore w:val="0"/>
        <w:widowControl/>
        <w:suppressAutoHyphens/>
        <w:kinsoku/>
        <w:wordWrap/>
        <w:overflowPunct w:val="0"/>
        <w:topLinePunct/>
        <w:autoSpaceDE/>
        <w:autoSpaceDN/>
        <w:bidi w:val="0"/>
        <w:adjustRightInd/>
        <w:snapToGrid/>
        <w:spacing w:after="0" w:line="560" w:lineRule="exact"/>
        <w:ind w:firstLine="640" w:firstLineChars="200"/>
        <w:contextualSpacing/>
        <w:textAlignment w:val="auto"/>
        <w:rPr>
          <w:rFonts w:hint="default" w:ascii="楷体_GB2312" w:hAnsi="Times New Roman" w:eastAsia="楷体_GB2312"/>
          <w:kern w:val="0"/>
          <w:sz w:val="32"/>
          <w:lang w:val="en-US" w:eastAsia="zh-CN"/>
        </w:rPr>
      </w:pPr>
      <w:r>
        <w:rPr>
          <w:rFonts w:hint="default" w:ascii="楷体_GB2312" w:hAnsi="Times New Roman" w:eastAsia="楷体_GB2312"/>
          <w:kern w:val="0"/>
          <w:sz w:val="32"/>
          <w:lang w:val="en-US" w:eastAsia="zh-CN"/>
        </w:rPr>
        <w:t>（二）穿山港区</w:t>
      </w:r>
    </w:p>
    <w:p w14:paraId="2B9C71A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5.宁波北仑第三集装箱码头有限公司码头1号泊位</w:t>
      </w:r>
      <w:r>
        <w:rPr>
          <w:rFonts w:hint="default" w:ascii="Times New Roman" w:hAnsi="Times New Roman" w:eastAsia="仿宋_GB2312" w:cs="Times New Roman"/>
          <w:sz w:val="32"/>
          <w:szCs w:val="32"/>
          <w:lang w:val="en-US" w:eastAsia="zh-CN"/>
        </w:rPr>
        <w:t>（地址：浙江省宁波市北仑区白峰集翔路8号）</w:t>
      </w:r>
    </w:p>
    <w:p w14:paraId="197852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码头泊位</w:t>
      </w:r>
      <w:r>
        <w:rPr>
          <w:rFonts w:hint="eastAsia" w:ascii="Times New Roman" w:hAnsi="Times New Roman" w:eastAsia="仿宋_GB2312" w:cs="Times New Roman"/>
          <w:sz w:val="32"/>
          <w:szCs w:val="32"/>
          <w:lang w:val="en-US" w:eastAsia="zh-CN"/>
        </w:rPr>
        <w:t>口岸限定区域为</w:t>
      </w:r>
      <w:r>
        <w:rPr>
          <w:rFonts w:hint="default" w:ascii="Times New Roman" w:hAnsi="Times New Roman" w:eastAsia="仿宋_GB2312" w:cs="Times New Roman"/>
          <w:sz w:val="32"/>
          <w:szCs w:val="32"/>
          <w:lang w:val="en-US" w:eastAsia="zh-CN"/>
        </w:rPr>
        <w:t>其所属1号泊位引桥至码头面及船等宽的海上监管区域所组成的区域，码头面长约330米，引桥段长约28米。口岸限定区域面积约为2.3万平方米（含引桥段）。</w:t>
      </w:r>
    </w:p>
    <w:p w14:paraId="217BDE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北仑区</w:t>
      </w:r>
      <w:r>
        <w:rPr>
          <w:rFonts w:hint="default" w:ascii="Times New Roman" w:hAnsi="Times New Roman" w:eastAsia="仿宋_GB2312" w:cs="Times New Roman"/>
          <w:sz w:val="32"/>
          <w:szCs w:val="32"/>
          <w:lang w:val="en-US" w:eastAsia="zh-CN"/>
        </w:rPr>
        <w:t>各</w:t>
      </w:r>
      <w:r>
        <w:rPr>
          <w:rFonts w:hint="eastAsia" w:ascii="Times New Roman" w:hAnsi="Times New Roman" w:eastAsia="仿宋_GB2312" w:cs="Times New Roman"/>
          <w:sz w:val="32"/>
          <w:szCs w:val="32"/>
          <w:lang w:val="en-US" w:eastAsia="zh-CN"/>
        </w:rPr>
        <w:t>港区</w:t>
      </w:r>
      <w:r>
        <w:rPr>
          <w:rFonts w:hint="default" w:ascii="Times New Roman" w:hAnsi="Times New Roman" w:eastAsia="仿宋_GB2312" w:cs="Times New Roman"/>
          <w:sz w:val="32"/>
          <w:szCs w:val="32"/>
          <w:lang w:val="en-US" w:eastAsia="zh-CN"/>
        </w:rPr>
        <w:t>口岸扩大开放和港口企业运营情况的变化，适时调整已划定的口岸限定区域范围，届时以通告内容为准。</w:t>
      </w:r>
    </w:p>
    <w:p w14:paraId="72C9AC6D">
      <w:pPr>
        <w:keepNext w:val="0"/>
        <w:keepLines w:val="0"/>
        <w:pageBreakBefore w:val="0"/>
        <w:widowControl/>
        <w:suppressAutoHyphens/>
        <w:kinsoku/>
        <w:wordWrap/>
        <w:overflowPunct w:val="0"/>
        <w:topLinePunct/>
        <w:autoSpaceDE/>
        <w:autoSpaceDN/>
        <w:bidi w:val="0"/>
        <w:adjustRightInd/>
        <w:snapToGrid/>
        <w:spacing w:after="0" w:line="560" w:lineRule="exact"/>
        <w:ind w:firstLine="640" w:firstLineChars="200"/>
        <w:contextualSpacing/>
        <w:textAlignment w:val="auto"/>
        <w:outlineLvl w:val="1"/>
        <w:rPr>
          <w:rFonts w:hint="default" w:ascii="Times New Roman" w:hAnsi="Times New Roman" w:eastAsia="黑体" w:cs="Times New Roman"/>
          <w:kern w:val="0"/>
          <w:sz w:val="32"/>
          <w:lang w:val="en-US" w:eastAsia="zh-CN"/>
        </w:rPr>
      </w:pPr>
      <w:r>
        <w:rPr>
          <w:rFonts w:hint="default" w:ascii="Times New Roman" w:hAnsi="Times New Roman" w:eastAsia="黑体" w:cs="Times New Roman"/>
          <w:kern w:val="0"/>
          <w:sz w:val="32"/>
          <w:lang w:val="en-US" w:eastAsia="zh-CN"/>
        </w:rPr>
        <w:t>三、口岸限定区域管理要求</w:t>
      </w:r>
    </w:p>
    <w:p w14:paraId="37A4F7F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（一）宁波出入境边防检查站依据《中华人民共和国出境入境管理法》对口岸限定区域依法实施管理，维护口岸正常出境入境秩序，对扰乱口岸限定区域管理秩序的行为，依法予以处罚。</w:t>
      </w:r>
    </w:p>
    <w:p w14:paraId="7889EA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（二）宁波出入境边防检查站会同口岸有关管理部门，以及经营单位通过物理隔离、电子门禁、电子围栏等方式对口岸限定区域实施封闭隔离，设置相应的通道、卡口或岗亭，设立口岸限定区域标识。</w:t>
      </w:r>
    </w:p>
    <w:p w14:paraId="3EA21A6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宁波出入境边防检查站通过实地巡查、电子监控等方式对口岸限定区域进行管理，并会同口岸所在地公安机关和有关职能部门建立协作机制，明确职责分工，共同维护口岸正常出境入境秩序。必要时，对口岸限定区域进行警戒。</w:t>
      </w:r>
    </w:p>
    <w:p w14:paraId="0D0D485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（四）进出口岸限定区域的人员和交通运输工具，应当接受边防检查人员的检查和管理，未经允许，不得进出。</w:t>
      </w:r>
    </w:p>
    <w:p w14:paraId="53B0C7AC">
      <w:pPr>
        <w:keepNext w:val="0"/>
        <w:keepLines w:val="0"/>
        <w:pageBreakBefore w:val="0"/>
        <w:widowControl/>
        <w:suppressAutoHyphens/>
        <w:kinsoku/>
        <w:wordWrap/>
        <w:overflowPunct w:val="0"/>
        <w:topLinePunct/>
        <w:autoSpaceDE/>
        <w:autoSpaceDN/>
        <w:bidi w:val="0"/>
        <w:adjustRightInd/>
        <w:snapToGrid/>
        <w:spacing w:after="0" w:line="560" w:lineRule="exact"/>
        <w:ind w:firstLine="640" w:firstLineChars="200"/>
        <w:contextualSpacing/>
        <w:textAlignment w:val="auto"/>
        <w:outlineLvl w:val="1"/>
        <w:rPr>
          <w:rFonts w:hint="default" w:ascii="Times New Roman" w:hAnsi="Times New Roman" w:eastAsia="黑体" w:cs="Times New Roman"/>
          <w:kern w:val="0"/>
          <w:sz w:val="32"/>
          <w:lang w:val="en-US" w:eastAsia="zh-CN"/>
        </w:rPr>
      </w:pPr>
      <w:r>
        <w:rPr>
          <w:rFonts w:hint="default" w:ascii="Times New Roman" w:hAnsi="Times New Roman" w:eastAsia="黑体" w:cs="Times New Roman"/>
          <w:kern w:val="0"/>
          <w:sz w:val="32"/>
          <w:lang w:val="en-US" w:eastAsia="zh-CN"/>
        </w:rPr>
        <w:t>四、本通告自发布之日起生效。</w:t>
      </w:r>
    </w:p>
    <w:p w14:paraId="6C68F0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52117FF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1FB6FA16">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sz w:val="32"/>
          <w:szCs w:val="32"/>
          <w:lang w:val="en-US" w:eastAsia="zh-CN"/>
        </w:rPr>
      </w:pPr>
    </w:p>
    <w:p w14:paraId="7590D1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宁波市北仑区人民政府  </w:t>
      </w:r>
      <w:bookmarkStart w:id="0" w:name="_GoBack"/>
      <w:bookmarkEnd w:id="0"/>
      <w:r>
        <w:rPr>
          <w:rFonts w:hint="eastAsia" w:ascii="Times New Roman" w:hAnsi="Times New Roman" w:eastAsia="仿宋_GB2312" w:cs="Times New Roman"/>
          <w:sz w:val="32"/>
          <w:szCs w:val="32"/>
          <w:lang w:val="en-US" w:eastAsia="zh-CN"/>
        </w:rPr>
        <w:t xml:space="preserve"> 宁波出入境边防检查站</w:t>
      </w:r>
    </w:p>
    <w:p w14:paraId="74CD4513">
      <w:pPr>
        <w:keepNext w:val="0"/>
        <w:keepLines w:val="0"/>
        <w:pageBreakBefore w:val="0"/>
        <w:widowControl w:val="0"/>
        <w:kinsoku/>
        <w:wordWrap/>
        <w:overflowPunct/>
        <w:topLinePunct w:val="0"/>
        <w:autoSpaceDE/>
        <w:autoSpaceDN/>
        <w:bidi w:val="0"/>
        <w:adjustRightInd w:val="0"/>
        <w:snapToGrid w:val="0"/>
        <w:spacing w:line="600" w:lineRule="exact"/>
        <w:ind w:firstLine="5120" w:firstLineChars="16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959E6"/>
    <w:rsid w:val="00163E90"/>
    <w:rsid w:val="002208A8"/>
    <w:rsid w:val="003B09AE"/>
    <w:rsid w:val="003D74B5"/>
    <w:rsid w:val="00441026"/>
    <w:rsid w:val="00502821"/>
    <w:rsid w:val="00507339"/>
    <w:rsid w:val="00727981"/>
    <w:rsid w:val="008E1674"/>
    <w:rsid w:val="009417FA"/>
    <w:rsid w:val="009F7FB2"/>
    <w:rsid w:val="00A06799"/>
    <w:rsid w:val="00AD0DF9"/>
    <w:rsid w:val="00B013A6"/>
    <w:rsid w:val="00BE02C6"/>
    <w:rsid w:val="00C959E6"/>
    <w:rsid w:val="00DC1A0D"/>
    <w:rsid w:val="00F011A5"/>
    <w:rsid w:val="00F04CCD"/>
    <w:rsid w:val="00FA4C51"/>
    <w:rsid w:val="00FC3981"/>
    <w:rsid w:val="0D9A4B01"/>
    <w:rsid w:val="0FBB57AC"/>
    <w:rsid w:val="15E93E15"/>
    <w:rsid w:val="171E0FC1"/>
    <w:rsid w:val="1B7D118B"/>
    <w:rsid w:val="1C47477A"/>
    <w:rsid w:val="1FB17D2F"/>
    <w:rsid w:val="20662F1C"/>
    <w:rsid w:val="20D438F5"/>
    <w:rsid w:val="24AB7A16"/>
    <w:rsid w:val="260601DD"/>
    <w:rsid w:val="267729E2"/>
    <w:rsid w:val="280A752F"/>
    <w:rsid w:val="28191FD7"/>
    <w:rsid w:val="2B085F41"/>
    <w:rsid w:val="2C6D40A5"/>
    <w:rsid w:val="33F427B7"/>
    <w:rsid w:val="380A4F88"/>
    <w:rsid w:val="3A27282F"/>
    <w:rsid w:val="3B3B2CA4"/>
    <w:rsid w:val="3B7A1825"/>
    <w:rsid w:val="3E6207FE"/>
    <w:rsid w:val="3EFFF298"/>
    <w:rsid w:val="430D454D"/>
    <w:rsid w:val="45693964"/>
    <w:rsid w:val="47732567"/>
    <w:rsid w:val="4A1E4DCE"/>
    <w:rsid w:val="4DC95447"/>
    <w:rsid w:val="4E156A62"/>
    <w:rsid w:val="4EBF5670"/>
    <w:rsid w:val="51FBFCEC"/>
    <w:rsid w:val="54626097"/>
    <w:rsid w:val="565B6EBB"/>
    <w:rsid w:val="59232CE4"/>
    <w:rsid w:val="5B5FAFEA"/>
    <w:rsid w:val="5CCE7C25"/>
    <w:rsid w:val="5DFFA614"/>
    <w:rsid w:val="68BD4A84"/>
    <w:rsid w:val="6A7E11D7"/>
    <w:rsid w:val="6C1F15D1"/>
    <w:rsid w:val="6D1C7897"/>
    <w:rsid w:val="6DF028F5"/>
    <w:rsid w:val="6FDD1D6C"/>
    <w:rsid w:val="73B32275"/>
    <w:rsid w:val="73EB280F"/>
    <w:rsid w:val="73F33EF7"/>
    <w:rsid w:val="7440657F"/>
    <w:rsid w:val="77D47045"/>
    <w:rsid w:val="77D4F46F"/>
    <w:rsid w:val="79795A3A"/>
    <w:rsid w:val="7B46081F"/>
    <w:rsid w:val="7BF76224"/>
    <w:rsid w:val="7FAF5516"/>
    <w:rsid w:val="7FE737F9"/>
    <w:rsid w:val="7FEB4A55"/>
    <w:rsid w:val="7FEFFF33"/>
    <w:rsid w:val="AF2BE9C4"/>
    <w:rsid w:val="B88E6E69"/>
    <w:rsid w:val="BEFF2551"/>
    <w:rsid w:val="D5FFA606"/>
    <w:rsid w:val="E5AFFE2F"/>
    <w:rsid w:val="EDD2FDDE"/>
    <w:rsid w:val="EDFD5255"/>
    <w:rsid w:val="EFFFB29C"/>
    <w:rsid w:val="F5DB8C79"/>
    <w:rsid w:val="F7857E53"/>
    <w:rsid w:val="FAF91DE3"/>
    <w:rsid w:val="FBFEA562"/>
    <w:rsid w:val="FBFEBEDD"/>
    <w:rsid w:val="FCFD0733"/>
    <w:rsid w:val="FE755214"/>
    <w:rsid w:val="FF56633F"/>
    <w:rsid w:val="FF7F2D0A"/>
    <w:rsid w:val="FF7F75C6"/>
    <w:rsid w:val="FFC75ACF"/>
    <w:rsid w:val="FFD3823C"/>
    <w:rsid w:val="FFDFF35C"/>
    <w:rsid w:val="FFFE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496"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496"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496"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496"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496"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496"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semiHidden/>
    <w:unhideWhenUsed/>
    <w:qFormat/>
    <w:uiPriority w:val="99"/>
    <w:pPr>
      <w:tabs>
        <w:tab w:val="center" w:pos="4153"/>
        <w:tab w:val="right" w:pos="8306"/>
      </w:tabs>
      <w:snapToGrid w:val="0"/>
      <w:jc w:val="left"/>
    </w:pPr>
    <w:rPr>
      <w:sz w:val="18"/>
      <w:szCs w:val="18"/>
    </w:rPr>
  </w:style>
  <w:style w:type="paragraph" w:styleId="12">
    <w:name w:val="header"/>
    <w:basedOn w:val="1"/>
    <w:link w:val="3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Char"/>
    <w:basedOn w:val="16"/>
    <w:link w:val="2"/>
    <w:qFormat/>
    <w:uiPriority w:val="9"/>
    <w:rPr>
      <w:rFonts w:asciiTheme="majorHAnsi" w:hAnsiTheme="majorHAnsi" w:eastAsiaTheme="majorEastAsia" w:cstheme="majorBidi"/>
      <w:color w:val="2F5496" w:themeColor="accent1" w:themeShade="BF"/>
      <w:sz w:val="48"/>
      <w:szCs w:val="48"/>
    </w:rPr>
  </w:style>
  <w:style w:type="character" w:customStyle="1" w:styleId="18">
    <w:name w:val="标题 2 Char"/>
    <w:basedOn w:val="16"/>
    <w:link w:val="3"/>
    <w:semiHidden/>
    <w:qFormat/>
    <w:uiPriority w:val="9"/>
    <w:rPr>
      <w:rFonts w:asciiTheme="majorHAnsi" w:hAnsiTheme="majorHAnsi" w:eastAsiaTheme="majorEastAsia" w:cstheme="majorBidi"/>
      <w:color w:val="2F5496"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2F5496" w:themeColor="accent1" w:themeShade="BF"/>
      <w:sz w:val="32"/>
      <w:szCs w:val="32"/>
    </w:rPr>
  </w:style>
  <w:style w:type="character" w:customStyle="1" w:styleId="20">
    <w:name w:val="标题 4 Char"/>
    <w:basedOn w:val="16"/>
    <w:link w:val="5"/>
    <w:semiHidden/>
    <w:qFormat/>
    <w:uiPriority w:val="9"/>
    <w:rPr>
      <w:rFonts w:cstheme="majorBidi"/>
      <w:color w:val="2F5496" w:themeColor="accent1" w:themeShade="BF"/>
      <w:sz w:val="28"/>
      <w:szCs w:val="28"/>
    </w:rPr>
  </w:style>
  <w:style w:type="character" w:customStyle="1" w:styleId="21">
    <w:name w:val="标题 5 Char"/>
    <w:basedOn w:val="16"/>
    <w:link w:val="6"/>
    <w:semiHidden/>
    <w:qFormat/>
    <w:uiPriority w:val="9"/>
    <w:rPr>
      <w:rFonts w:cstheme="majorBidi"/>
      <w:color w:val="2F5496" w:themeColor="accent1" w:themeShade="BF"/>
      <w:sz w:val="24"/>
      <w:szCs w:val="24"/>
    </w:rPr>
  </w:style>
  <w:style w:type="character" w:customStyle="1" w:styleId="22">
    <w:name w:val="标题 6 Char"/>
    <w:basedOn w:val="16"/>
    <w:link w:val="7"/>
    <w:semiHidden/>
    <w:qFormat/>
    <w:uiPriority w:val="9"/>
    <w:rPr>
      <w:rFonts w:cstheme="majorBidi"/>
      <w:b/>
      <w:bCs/>
      <w:color w:val="2F5496" w:themeColor="accent1" w:themeShade="BF"/>
    </w:rPr>
  </w:style>
  <w:style w:type="character" w:customStyle="1" w:styleId="23">
    <w:name w:val="标题 7 Char"/>
    <w:basedOn w:val="16"/>
    <w:link w:val="8"/>
    <w:semiHidden/>
    <w:qFormat/>
    <w:uiPriority w:val="9"/>
    <w:rPr>
      <w:rFonts w:cstheme="majorBidi"/>
      <w:b/>
      <w:bCs/>
      <w:color w:val="585858" w:themeColor="text1" w:themeTint="A6"/>
    </w:rPr>
  </w:style>
  <w:style w:type="character" w:customStyle="1" w:styleId="24">
    <w:name w:val="标题 8 Char"/>
    <w:basedOn w:val="16"/>
    <w:link w:val="9"/>
    <w:semiHidden/>
    <w:qFormat/>
    <w:uiPriority w:val="9"/>
    <w:rPr>
      <w:rFonts w:cstheme="majorBidi"/>
      <w:color w:val="585858" w:themeColor="text1" w:themeTint="A6"/>
    </w:rPr>
  </w:style>
  <w:style w:type="character" w:customStyle="1" w:styleId="25">
    <w:name w:val="标题 9 Char"/>
    <w:basedOn w:val="16"/>
    <w:link w:val="10"/>
    <w:semiHidden/>
    <w:qFormat/>
    <w:uiPriority w:val="9"/>
    <w:rPr>
      <w:rFonts w:eastAsiaTheme="majorEastAsia" w:cstheme="majorBidi"/>
      <w:color w:val="585858" w:themeColor="text1" w:themeTint="A6"/>
    </w:rPr>
  </w:style>
  <w:style w:type="character" w:customStyle="1" w:styleId="26">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qFormat/>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after="160"/>
      <w:jc w:val="center"/>
    </w:pPr>
    <w:rPr>
      <w:i/>
      <w:iCs/>
      <w:color w:val="3F3F3F" w:themeColor="text1" w:themeTint="BF"/>
    </w:rPr>
  </w:style>
  <w:style w:type="character" w:customStyle="1" w:styleId="29">
    <w:name w:val="引用 Char"/>
    <w:basedOn w:val="16"/>
    <w:link w:val="28"/>
    <w:qFormat/>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496"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customStyle="1" w:styleId="33">
    <w:name w:val="明显引用 Char"/>
    <w:basedOn w:val="16"/>
    <w:link w:val="32"/>
    <w:qFormat/>
    <w:uiPriority w:val="30"/>
    <w:rPr>
      <w:i/>
      <w:iCs/>
      <w:color w:val="2F5496" w:themeColor="accent1" w:themeShade="BF"/>
    </w:rPr>
  </w:style>
  <w:style w:type="character" w:customStyle="1" w:styleId="34">
    <w:name w:val="明显参考1"/>
    <w:basedOn w:val="16"/>
    <w:qFormat/>
    <w:uiPriority w:val="32"/>
    <w:rPr>
      <w:b/>
      <w:bCs/>
      <w:smallCaps/>
      <w:color w:val="2F5496" w:themeColor="accent1" w:themeShade="BF"/>
      <w:spacing w:val="5"/>
    </w:rPr>
  </w:style>
  <w:style w:type="character" w:customStyle="1" w:styleId="35">
    <w:name w:val="页眉 Char"/>
    <w:basedOn w:val="16"/>
    <w:link w:val="12"/>
    <w:semiHidden/>
    <w:qFormat/>
    <w:uiPriority w:val="99"/>
    <w:rPr>
      <w:rFonts w:asciiTheme="minorHAnsi" w:hAnsiTheme="minorHAnsi" w:eastAsiaTheme="minorEastAsia" w:cstheme="minorBidi"/>
      <w:kern w:val="2"/>
      <w:sz w:val="18"/>
      <w:szCs w:val="18"/>
    </w:rPr>
  </w:style>
  <w:style w:type="character" w:customStyle="1" w:styleId="36">
    <w:name w:val="页脚 Char"/>
    <w:basedOn w:val="16"/>
    <w:link w:val="11"/>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1261</Words>
  <Characters>1305</Characters>
  <Lines>9</Lines>
  <Paragraphs>2</Paragraphs>
  <TotalTime>67</TotalTime>
  <ScaleCrop>false</ScaleCrop>
  <LinksUpToDate>false</LinksUpToDate>
  <CharactersWithSpaces>1311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2025-09-17T02:20:00Z</dcterms:created>
  <dc:creator>HW</dc:creator>
  <cp:lastModifiedBy>原上草</cp:lastModifiedBy>
  <cp:lastPrinted>2026-05-10T00:11:00Z</cp:lastPrinted>
  <dcterms:modified xsi:type="dcterms:W3CDTF">2026-05-11T07:35:48Z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BA7A693B126A4080AE7B649C64BC11A5</vt:lpwstr>
  </property>
  <property fmtid="{D5CDD505-2E9C-101B-9397-08002B2CF9AE}" pid="4" name="KSOTemplateDocerSaveRecord">
    <vt:lpwstr>eyJoZGlkIjoiODVjZjNkZjc2NWZhYWY3Y2MyMjQxYjU0YWIwZTQ5YTQiLCJ1c2VySWQiOiI1NDAxNjUxNTkifQ==</vt:lpwstr>
  </property>
</Properties>
</file>